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</w:tblPr>
      <w:tblGrid>
        <w:gridCol w:w="10036"/>
      </w:tblGrid>
      <w:tr>
        <w:tc>
          <w:tcPr>
            <w:tcW w:type="dxa" w:w="10036"/>
            <w:shd w:fill="123B3A"/>
            <w:tcMar>
              <w:top w:w="325" w:type="dxa"/>
              <w:start w:w="340" w:type="dxa"/>
              <w:bottom w:w="300" w:type="dxa"/>
              <w:end w:w="340" w:type="dxa"/>
            </w:tcMar>
          </w:tcPr>
          <w:p>
            <w:r>
              <w:rPr>
                <w:rFonts w:ascii="Aptos" w:hAnsi="Aptos" w:eastAsia="Aptos"/>
                <w:b/>
                <w:color w:val="C8DDD2"/>
                <w:sz w:val="19"/>
              </w:rPr>
              <w:t>GUIDE PRATIQUE  •  TOUS PRESTATAIRES</w:t>
            </w:r>
          </w:p>
          <w:p>
            <w:r>
              <w:rPr>
                <w:rFonts w:ascii="Aptos Display" w:hAnsi="Aptos Display" w:eastAsia="Aptos Display"/>
                <w:b/>
                <w:color w:val="FFFFFF"/>
                <w:sz w:val="54"/>
              </w:rPr>
              <w:t>Qualiopi V9 → V10</w:t>
            </w:r>
          </w:p>
          <w:p>
            <w:r>
              <w:rPr>
                <w:rFonts w:ascii="Aptos Display" w:hAnsi="Aptos Display" w:eastAsia="Aptos Display"/>
                <w:b w:val="0"/>
                <w:color w:val="E2EFE8"/>
                <w:sz w:val="24"/>
              </w:rPr>
              <w:t>Socle commun, points de vigilance et lecture par portée : OF, CFA, bilan de compétences et VAE</w:t>
            </w:r>
          </w:p>
        </w:tc>
      </w:tr>
    </w:tbl>
    <w:p/>
    <w:tbl>
      <w:tblPr>
        <w:tblW w:type="auto" w:w="0"/>
        <w:tblLook w:firstColumn="1" w:firstRow="1" w:lastColumn="0" w:lastRow="0" w:noHBand="0" w:noVBand="1" w:val="04A0"/>
      </w:tblPr>
      <w:tblGrid>
        <w:gridCol w:w="10036"/>
      </w:tblGrid>
      <w:tr>
        <w:tc>
          <w:tcPr>
            <w:tcW w:type="dxa" w:w="10036"/>
            <w:shd w:fill="F7EBCF"/>
            <w:tcMar>
              <w:top w:w="140" w:type="dxa"/>
              <w:start w:w="170" w:type="dxa"/>
              <w:bottom w:w="140" w:type="dxa"/>
              <w:end w:w="170" w:type="dxa"/>
            </w:tcMar>
          </w:tcPr>
          <w:p>
            <w:r>
              <w:rPr>
                <w:rFonts w:ascii="Aptos" w:hAnsi="Aptos" w:eastAsia="Aptos"/>
                <w:b/>
                <w:color w:val="7A551B"/>
                <w:sz w:val="18"/>
              </w:rPr>
              <w:t xml:space="preserve">STATUT À SÉCURISER. </w:t>
            </w:r>
            <w:r>
              <w:rPr>
                <w:rFonts w:ascii="Aptos" w:hAnsi="Aptos" w:eastAsia="Aptos"/>
                <w:b w:val="0"/>
                <w:color w:val="123B3A"/>
                <w:sz w:val="18"/>
              </w:rPr>
              <w:t>Les documents V10 et l’arrêté du 28 octobre 2026 analysés sont présentés comme étant en préparation/publication. Ils servent à préparer les pratiques ; l’applicabilité, les dates et les éventuelles transitions doivent être confirmées dans les textes publiés et auprès de l’organisme certificateur.</w:t>
            </w:r>
          </w:p>
        </w:tc>
      </w:tr>
    </w:tbl>
    <w:p/>
    <w:p>
      <w:pPr>
        <w:spacing w:before="200" w:after="80"/>
      </w:pPr>
      <w:r>
        <w:rPr>
          <w:rFonts w:ascii="Aptos Display" w:hAnsi="Aptos Display" w:eastAsia="Aptos Display"/>
          <w:b/>
          <w:color w:val="123B3A"/>
          <w:sz w:val="32"/>
        </w:rPr>
        <w:t>1. Ce qui concerne tous les prestataires</w:t>
      </w:r>
    </w:p>
    <w:p>
      <w:pPr>
        <w:spacing w:after="100" w:line="254" w:lineRule="auto"/>
      </w:pPr>
      <w:r>
        <w:rPr>
          <w:rFonts w:ascii="Aptos" w:hAnsi="Aptos" w:eastAsia="Aptos"/>
          <w:b w:val="0"/>
          <w:sz w:val="19"/>
        </w:rPr>
        <w:t>La préparation V10 s’organise autour d’un socle transverse : information loyale, résultats expliqués, prévention des situations sensibles, maîtrise des partenaires, développement des compétences et analyse des risques qualité. La preuve doit être proportionnée à la portée réellement exercée, mais elle doit être effective, accessible et reliée à une décision d’amélioration.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45"/>
        <w:gridCol w:w="3345"/>
        <w:gridCol w:w="3345"/>
      </w:tblGrid>
      <w:tr>
        <w:tc>
          <w:tcPr>
            <w:tcW w:type="dxa" w:w="3345"/>
            <w:shd w:fill="123B3A"/>
            <w:tcMar>
              <w:top w:w="110" w:type="dxa"/>
              <w:start w:w="125" w:type="dxa"/>
              <w:bottom w:w="110" w:type="dxa"/>
              <w:end w:w="125" w:type="dxa"/>
            </w:tcMar>
          </w:tcPr>
          <w:p>
            <w:r>
              <w:rPr>
                <w:rFonts w:ascii="Aptos" w:hAnsi="Aptos" w:eastAsia="Aptos"/>
                <w:b/>
                <w:color w:val="FFFFFF"/>
                <w:sz w:val="15"/>
              </w:rPr>
              <w:t>Axe</w:t>
            </w:r>
          </w:p>
        </w:tc>
        <w:tc>
          <w:tcPr>
            <w:tcW w:type="dxa" w:w="3345"/>
            <w:shd w:fill="123B3A"/>
            <w:tcMar>
              <w:top w:w="110" w:type="dxa"/>
              <w:start w:w="125" w:type="dxa"/>
              <w:bottom w:w="110" w:type="dxa"/>
              <w:end w:w="125" w:type="dxa"/>
            </w:tcMar>
          </w:tcPr>
          <w:p>
            <w:r>
              <w:rPr>
                <w:rFonts w:ascii="Aptos" w:hAnsi="Aptos" w:eastAsia="Aptos"/>
                <w:b/>
                <w:color w:val="FFFFFF"/>
                <w:sz w:val="15"/>
              </w:rPr>
              <w:t>Évolution / vigilance</w:t>
            </w:r>
          </w:p>
        </w:tc>
        <w:tc>
          <w:tcPr>
            <w:tcW w:type="dxa" w:w="3345"/>
            <w:shd w:fill="123B3A"/>
            <w:tcMar>
              <w:top w:w="110" w:type="dxa"/>
              <w:start w:w="125" w:type="dxa"/>
              <w:bottom w:w="110" w:type="dxa"/>
              <w:end w:w="125" w:type="dxa"/>
            </w:tcMar>
          </w:tcPr>
          <w:p>
            <w:r>
              <w:rPr>
                <w:rFonts w:ascii="Aptos" w:hAnsi="Aptos" w:eastAsia="Aptos"/>
                <w:b/>
                <w:color w:val="FFFFFF"/>
                <w:sz w:val="15"/>
              </w:rPr>
              <w:t>Décision à engager</w:t>
            </w:r>
          </w:p>
        </w:tc>
      </w:tr>
      <w:tr>
        <w:trPr>
          <w:cantSplit/>
        </w:trPr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/>
                <w:color w:val="123B3A"/>
                <w:sz w:val="16"/>
              </w:rPr>
              <w:t>Information du public</w:t>
            </w:r>
          </w:p>
        </w:tc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Vérifier la loyauté des promesses, financements, reconnaissance et modalités ; expliciter les méthodes de calcul des résultats.</w:t>
            </w:r>
          </w:p>
        </w:tc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Revoir site, devis, supports commerciaux et sources chiffrées.</w:t>
            </w:r>
          </w:p>
        </w:tc>
      </w:tr>
      <w:tr>
        <w:trPr>
          <w:cantSplit/>
        </w:trPr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/>
                <w:color w:val="123B3A"/>
                <w:sz w:val="16"/>
              </w:rPr>
              <w:t>Personnes et situations sensibles</w:t>
            </w:r>
          </w:p>
        </w:tc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Prévention et traitement VSS, harcèlement et discriminations : processus connu, confidentiel et mis en œuvre.</w:t>
            </w:r>
          </w:p>
        </w:tc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Nommer le circuit, former les personnes utiles, limiter les données sensibles et tester le dispositif.</w:t>
            </w:r>
          </w:p>
        </w:tc>
      </w:tr>
      <w:tr>
        <w:trPr>
          <w:cantSplit/>
        </w:trPr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/>
                <w:color w:val="123B3A"/>
                <w:sz w:val="16"/>
              </w:rPr>
              <w:t>Partenaires et sous-traitance</w:t>
            </w:r>
          </w:p>
        </w:tc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Traçabilité du respect du RNQ dans les contrats ; garanties renforcées pour les formations certifiantes.</w:t>
            </w:r>
          </w:p>
        </w:tc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Réviser contrat, sélection, contrôle et remontée des incidents.</w:t>
            </w:r>
          </w:p>
        </w:tc>
      </w:tr>
      <w:tr>
        <w:trPr>
          <w:cantSplit/>
        </w:trPr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/>
                <w:color w:val="123B3A"/>
                <w:sz w:val="16"/>
              </w:rPr>
              <w:t>Pilotage des risques</w:t>
            </w:r>
          </w:p>
        </w:tc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Analyse des risques sur la qualité des prestations et mesure de l’efficacité des actions.</w:t>
            </w:r>
          </w:p>
        </w:tc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Installer un registre, une revue périodique et un pilote par action.</w:t>
            </w:r>
          </w:p>
        </w:tc>
      </w:tr>
    </w:tbl>
    <w:p>
      <w:pPr>
        <w:spacing w:before="200" w:after="80"/>
      </w:pPr>
      <w:r>
        <w:rPr>
          <w:rFonts w:ascii="Aptos Display" w:hAnsi="Aptos Display" w:eastAsia="Aptos Display"/>
          <w:b/>
          <w:color w:val="123B3A"/>
          <w:sz w:val="32"/>
        </w:rPr>
        <w:t>2. Lire les exigences selon sa portée</w:t>
      </w:r>
    </w:p>
    <w:p>
      <w:pPr>
        <w:spacing w:after="100" w:line="254" w:lineRule="auto"/>
      </w:pPr>
      <w:r>
        <w:rPr>
          <w:rFonts w:ascii="Aptos" w:hAnsi="Aptos" w:eastAsia="Aptos"/>
          <w:b w:val="0"/>
          <w:sz w:val="19"/>
        </w:rPr>
        <w:t>Le comparatif met fortement en lumière l’apprentissage, car plusieurs ajouts V10 y sont explicitement associés. Pour le bilan de compétences et la VAE, le topo transmis ne met pas en évidence de nouvel indicateur réservé à ces seules catégories ; l’enjeu est donc d’appliquer le socle commun à des dossiers, parcours et données adaptés à la portée déclarée, sans transposer des preuves étrangères à l’activité.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45"/>
        <w:gridCol w:w="3345"/>
        <w:gridCol w:w="3345"/>
      </w:tblGrid>
      <w:tr>
        <w:tc>
          <w:tcPr>
            <w:tcW w:type="dxa" w:w="3345"/>
            <w:shd w:fill="123B3A"/>
            <w:tcMar>
              <w:top w:w="110" w:type="dxa"/>
              <w:start w:w="125" w:type="dxa"/>
              <w:bottom w:w="110" w:type="dxa"/>
              <w:end w:w="125" w:type="dxa"/>
            </w:tcMar>
          </w:tcPr>
          <w:p>
            <w:r>
              <w:rPr>
                <w:rFonts w:ascii="Aptos" w:hAnsi="Aptos" w:eastAsia="Aptos"/>
                <w:b/>
                <w:color w:val="FFFFFF"/>
                <w:sz w:val="15"/>
              </w:rPr>
              <w:t>Portée</w:t>
            </w:r>
          </w:p>
        </w:tc>
        <w:tc>
          <w:tcPr>
            <w:tcW w:type="dxa" w:w="3345"/>
            <w:shd w:fill="123B3A"/>
            <w:tcMar>
              <w:top w:w="110" w:type="dxa"/>
              <w:start w:w="125" w:type="dxa"/>
              <w:bottom w:w="110" w:type="dxa"/>
              <w:end w:w="125" w:type="dxa"/>
            </w:tcMar>
          </w:tcPr>
          <w:p>
            <w:r>
              <w:rPr>
                <w:rFonts w:ascii="Aptos" w:hAnsi="Aptos" w:eastAsia="Aptos"/>
                <w:b/>
                <w:color w:val="FFFFFF"/>
                <w:sz w:val="15"/>
              </w:rPr>
              <w:t>Ce qu’il faut sécuriser</w:t>
            </w:r>
          </w:p>
        </w:tc>
        <w:tc>
          <w:tcPr>
            <w:tcW w:type="dxa" w:w="3345"/>
            <w:shd w:fill="123B3A"/>
            <w:tcMar>
              <w:top w:w="110" w:type="dxa"/>
              <w:start w:w="125" w:type="dxa"/>
              <w:bottom w:w="110" w:type="dxa"/>
              <w:end w:w="125" w:type="dxa"/>
            </w:tcMar>
          </w:tcPr>
          <w:p>
            <w:r>
              <w:rPr>
                <w:rFonts w:ascii="Aptos" w:hAnsi="Aptos" w:eastAsia="Aptos"/>
                <w:b/>
                <w:color w:val="FFFFFF"/>
                <w:sz w:val="15"/>
              </w:rPr>
              <w:t>Exemples de preuves proportionnées</w:t>
            </w:r>
          </w:p>
        </w:tc>
      </w:tr>
      <w:tr>
        <w:trPr>
          <w:cantSplit/>
        </w:trPr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/>
                <w:color w:val="123B3A"/>
                <w:sz w:val="16"/>
              </w:rPr>
              <w:t>Organisme de formation</w:t>
            </w:r>
          </w:p>
        </w:tc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Information, résultats, adaptation, compétences, sous-traitance, FOAD et amélioration continue.</w:t>
            </w:r>
          </w:p>
        </w:tc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Dossiers de réalisation, informations diffusées, données sources, assistance, évaluations et plans d’action.</w:t>
            </w:r>
          </w:p>
        </w:tc>
      </w:tr>
      <w:tr>
        <w:trPr>
          <w:cantSplit/>
        </w:trPr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/>
                <w:color w:val="123B3A"/>
                <w:sz w:val="16"/>
              </w:rPr>
              <w:t>CFA / apprentissage</w:t>
            </w:r>
          </w:p>
        </w:tc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Syllabus, alternance, ruptures, ETP, conseil de perfectionnement, médiation et indicateur 33.</w:t>
            </w:r>
          </w:p>
        </w:tc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Livret de suivi, coordination centre–entreprise, tableau ETP, instances, protocole de rupture et enquête pédagogique.</w:t>
            </w:r>
          </w:p>
        </w:tc>
      </w:tr>
      <w:tr>
        <w:trPr>
          <w:cantSplit/>
        </w:trPr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/>
                <w:color w:val="123B3A"/>
                <w:sz w:val="16"/>
              </w:rPr>
              <w:t>Bilan de compétences</w:t>
            </w:r>
          </w:p>
        </w:tc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Confidentialité, information du bénéficiaire, parcours réellement suivi et preuves qualité accessibles sans exposer les données personnelles.</w:t>
            </w:r>
          </w:p>
        </w:tc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Parcours anonymisés, conventions, informations, évaluations, suivi des décisions qualité et droits d’accès maîtrisés.</w:t>
            </w:r>
          </w:p>
        </w:tc>
      </w:tr>
      <w:tr>
        <w:trPr>
          <w:cantSplit/>
        </w:trPr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/>
                <w:color w:val="123B3A"/>
                <w:sz w:val="16"/>
              </w:rPr>
              <w:t>VAE</w:t>
            </w:r>
          </w:p>
        </w:tc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Information du candidat, jalons d’accompagnement, compétences des accompagnateurs, suivi et amélioration continue.</w:t>
            </w:r>
          </w:p>
        </w:tc>
        <w:tc>
          <w:tcPr>
            <w:tcW w:type="dxa" w:w="3345"/>
            <w:shd w:fill="EAF2F5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Parcours d’accompagnement, jalons, informations, compétences, évaluations et actions d’amélioration.</w:t>
            </w:r>
          </w:p>
        </w:tc>
      </w:tr>
      <w:tr>
        <w:trPr>
          <w:cantSplit/>
        </w:trPr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/>
                <w:color w:val="123B3A"/>
                <w:sz w:val="16"/>
              </w:rPr>
              <w:t>Formation certifiante</w:t>
            </w:r>
          </w:p>
        </w:tc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Capacité à assurer la certification, habilitation, résultats publiés et articulation programme–compétences–évaluations.</w:t>
            </w:r>
          </w:p>
        </w:tc>
        <w:tc>
          <w:tcPr>
            <w:tcW w:type="dxa" w:w="3345"/>
            <w:shd w:fill="FFFFFF"/>
            <w:tcMar>
              <w:top w:w="110" w:type="dxa"/>
              <w:start w:w="125" w:type="dxa"/>
              <w:bottom w:w="110" w:type="dxa"/>
              <w:end w:w="125" w:type="dxa"/>
            </w:tcMar>
            <w:vAlign w:val="top"/>
          </w:tcPr>
          <w:p>
            <w:r>
              <w:rPr>
                <w:rFonts w:ascii="Aptos" w:hAnsi="Aptos" w:eastAsia="Aptos"/>
                <w:b w:val="0"/>
                <w:sz w:val="16"/>
              </w:rPr>
              <w:t>Habilitation/convention, fiche RNCP/RS, tableaux de résultats et contrôle éditorial des pages publiques.</w:t>
            </w:r>
          </w:p>
        </w:tc>
      </w:tr>
    </w:tbl>
    <w:p>
      <w:pPr>
        <w:spacing w:before="200" w:after="80"/>
      </w:pPr>
      <w:r>
        <w:rPr>
          <w:rFonts w:ascii="Aptos Display" w:hAnsi="Aptos Display" w:eastAsia="Aptos Display"/>
          <w:b/>
          <w:color w:val="123B3A"/>
          <w:sz w:val="32"/>
        </w:rPr>
        <w:t>3. Feuille de route 0–90 jours</w:t>
      </w:r>
    </w:p>
    <w:p>
      <w:pPr>
        <w:pStyle w:val="ListBullet"/>
        <w:spacing w:after="40"/>
      </w:pPr>
      <w:r>
        <w:rPr>
          <w:rFonts w:ascii="Aptos" w:hAnsi="Aptos" w:eastAsia="Aptos"/>
          <w:b/>
          <w:color w:val="1D5652"/>
          <w:sz w:val="18"/>
        </w:rPr>
        <w:t xml:space="preserve">0–15 jours. </w:t>
      </w:r>
      <w:r>
        <w:rPr>
          <w:rFonts w:ascii="Aptos" w:hAnsi="Aptos" w:eastAsia="Aptos"/>
          <w:b w:val="0"/>
          <w:sz w:val="18"/>
        </w:rPr>
        <w:t>Confirmer le régime applicable ; cartographier les portées réellement exercées ; réaliser un audit à blanc sur une sélection non préparée à l’avance.</w:t>
      </w:r>
    </w:p>
    <w:p>
      <w:pPr>
        <w:pStyle w:val="ListBullet"/>
        <w:spacing w:after="40"/>
      </w:pPr>
      <w:r>
        <w:rPr>
          <w:rFonts w:ascii="Aptos" w:hAnsi="Aptos" w:eastAsia="Aptos"/>
          <w:b/>
          <w:color w:val="1D5652"/>
          <w:sz w:val="18"/>
        </w:rPr>
        <w:t xml:space="preserve">15–45 jours. </w:t>
      </w:r>
      <w:r>
        <w:rPr>
          <w:rFonts w:ascii="Aptos" w:hAnsi="Aptos" w:eastAsia="Aptos"/>
          <w:b w:val="0"/>
          <w:sz w:val="18"/>
        </w:rPr>
        <w:t>Sécuriser information, résultats, situations sensibles, sous-traitance, FOAD et registre des risques ; désigner les pilotes.</w:t>
      </w:r>
    </w:p>
    <w:p>
      <w:pPr>
        <w:pStyle w:val="ListBullet"/>
        <w:spacing w:after="40"/>
      </w:pPr>
      <w:r>
        <w:rPr>
          <w:rFonts w:ascii="Aptos" w:hAnsi="Aptos" w:eastAsia="Aptos"/>
          <w:b/>
          <w:color w:val="1D5652"/>
          <w:sz w:val="18"/>
        </w:rPr>
        <w:t xml:space="preserve">45–90 jours. </w:t>
      </w:r>
      <w:r>
        <w:rPr>
          <w:rFonts w:ascii="Aptos" w:hAnsi="Aptos" w:eastAsia="Aptos"/>
          <w:b w:val="0"/>
          <w:sz w:val="18"/>
        </w:rPr>
        <w:t>Déployer les modules spécifiques : apprentissage, bilan, VAE ou certification ; mesurer l’efficacité des premières actions.</w:t>
      </w:r>
    </w:p>
    <w:p>
      <w:pPr>
        <w:spacing w:before="200" w:after="80"/>
      </w:pPr>
      <w:r>
        <w:rPr>
          <w:rFonts w:ascii="Aptos Display" w:hAnsi="Aptos Display" w:eastAsia="Aptos Display"/>
          <w:b/>
          <w:color w:val="123B3A"/>
          <w:sz w:val="32"/>
        </w:rPr>
        <w:t>4. Méthode d’audit et relation au certificateur</w:t>
      </w:r>
    </w:p>
    <w:p>
      <w:pPr>
        <w:spacing w:after="100" w:line="254" w:lineRule="auto"/>
      </w:pPr>
      <w:r>
        <w:rPr>
          <w:rFonts w:ascii="Aptos" w:hAnsi="Aptos" w:eastAsia="Aptos"/>
          <w:b w:val="0"/>
          <w:sz w:val="19"/>
        </w:rPr>
        <w:t>Préparer l’audit sur l’activité réelle de chaque catégorie. L’échantillon doit pouvoir couvrir les modalités, sites, partenaires et publics effectivement concernés. L’auditeur vérifie les preuves et leur effectivité ; il ne conçoit pas les dispositifs à la place de l’organisme et n’instruit pas les situations individuelles sensibles.</w:t>
      </w:r>
    </w:p>
    <w:p>
      <w:pPr>
        <w:spacing w:before="200" w:after="80"/>
      </w:pPr>
      <w:r>
        <w:rPr>
          <w:rFonts w:ascii="Aptos Display" w:hAnsi="Aptos Display" w:eastAsia="Aptos Display"/>
          <w:b/>
          <w:color w:val="123B3A"/>
          <w:sz w:val="32"/>
        </w:rPr>
        <w:t>Sources et périmètre</w:t>
      </w:r>
    </w:p>
    <w:p>
      <w:pPr>
        <w:spacing w:after="100" w:line="254" w:lineRule="auto"/>
      </w:pPr>
      <w:r>
        <w:rPr>
          <w:rFonts w:ascii="Aptos" w:hAnsi="Aptos" w:eastAsia="Aptos"/>
          <w:b w:val="0"/>
          <w:sz w:val="16"/>
        </w:rPr>
        <w:t>Guide de lecture Qualiopi V9 (8 janvier 2024) ; guide de lecture V10 d’octobre 2026 transmis ; projet d’arrêté du 28 octobre 2026 transmis ; documents Apave associés. Cette ressource est un document de travail et ne remplace pas les textes publiés ni les instructions contractuelles du certificateur.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822" w:right="935" w:bottom="822" w:left="935" w:header="369" w:footer="36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ptos" w:hAnsi="Aptos" w:eastAsia="Aptos"/>
        <w:b w:val="0"/>
        <w:color w:val="5D716E"/>
        <w:sz w:val="15"/>
      </w:rPr>
      <w:t>Analyse au 29 octobre 2026  •  Document de travail  •  Vérifier les textes publiés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ptos" w:hAnsi="Aptos" w:eastAsia="Aptos"/>
        <w:b/>
        <w:color w:val="5D716E"/>
        <w:sz w:val="15"/>
      </w:rPr>
      <w:t>VEILLE QUALIOPI  |  RESSOURCE DE PRÉPARATION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