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ook w:firstColumn="1" w:firstRow="1" w:lastColumn="0" w:lastRow="0" w:noHBand="0" w:noVBand="1" w:val="04A0"/>
      </w:tblPr>
      <w:tblGrid>
        <w:gridCol w:w="10036"/>
      </w:tblGrid>
      <w:tr>
        <w:tc>
          <w:tcPr>
            <w:tcW w:type="dxa" w:w="10036"/>
            <w:shd w:fill="123B3A"/>
            <w:tcMar>
              <w:top w:w="325" w:type="dxa"/>
              <w:start w:w="340" w:type="dxa"/>
              <w:bottom w:w="300" w:type="dxa"/>
              <w:end w:w="340" w:type="dxa"/>
            </w:tcMar>
          </w:tcPr>
          <w:p>
            <w:r>
              <w:rPr>
                <w:rFonts w:ascii="Aptos" w:hAnsi="Aptos" w:eastAsia="Aptos"/>
                <w:b/>
                <w:color w:val="C8DDD2"/>
                <w:sz w:val="19"/>
              </w:rPr>
              <w:t>CHECKLIST OPÉRATIONNELLE  •  PAR PORTÉE</w:t>
            </w:r>
          </w:p>
          <w:p>
            <w:r>
              <w:rPr>
                <w:rFonts w:ascii="Aptos Display" w:hAnsi="Aptos Display" w:eastAsia="Aptos Display"/>
                <w:b/>
                <w:color w:val="FFFFFF"/>
                <w:sz w:val="54"/>
              </w:rPr>
              <w:t>Préparer Qualiopi V9 → V10</w:t>
            </w:r>
          </w:p>
          <w:p>
            <w:r>
              <w:rPr>
                <w:rFonts w:ascii="Aptos Display" w:hAnsi="Aptos Display" w:eastAsia="Aptos Display"/>
                <w:b w:val="0"/>
                <w:color w:val="E2EFE8"/>
                <w:sz w:val="24"/>
              </w:rPr>
              <w:t>Une trame de contrôle pour organismes de formation, CFA, bilan de compétences et VAE</w:t>
            </w:r>
          </w:p>
        </w:tc>
      </w:tr>
    </w:tbl>
    <w:p/>
    <w:tbl>
      <w:tblPr>
        <w:tblW w:type="auto" w:w="0"/>
        <w:tblLook w:firstColumn="1" w:firstRow="1" w:lastColumn="0" w:lastRow="0" w:noHBand="0" w:noVBand="1" w:val="04A0"/>
      </w:tblPr>
      <w:tblGrid>
        <w:gridCol w:w="10036"/>
      </w:tblGrid>
      <w:tr>
        <w:tc>
          <w:tcPr>
            <w:tcW w:type="dxa" w:w="10036"/>
            <w:shd w:fill="F7EBCF"/>
            <w:tcMar>
              <w:top w:w="140" w:type="dxa"/>
              <w:start w:w="170" w:type="dxa"/>
              <w:bottom w:w="140" w:type="dxa"/>
              <w:end w:w="170" w:type="dxa"/>
            </w:tcMar>
          </w:tcPr>
          <w:p>
            <w:r>
              <w:rPr>
                <w:rFonts w:ascii="Aptos" w:hAnsi="Aptos" w:eastAsia="Aptos"/>
                <w:b/>
                <w:color w:val="7A551B"/>
                <w:sz w:val="18"/>
              </w:rPr>
              <w:t xml:space="preserve">STATUT À SÉCURISER. </w:t>
            </w:r>
            <w:r>
              <w:rPr>
                <w:rFonts w:ascii="Aptos" w:hAnsi="Aptos" w:eastAsia="Aptos"/>
                <w:b w:val="0"/>
                <w:color w:val="123B3A"/>
                <w:sz w:val="18"/>
              </w:rPr>
              <w:t>Les documents V10 et l’arrêté du 28 octobre 2026 analysés sont présentés comme étant en préparation/publication. Ils servent à préparer les pratiques ; l’applicabilité, les dates et les éventuelles transitions doivent être confirmées dans les textes publiés et auprès de l’organisme certificateur.</w:t>
            </w:r>
          </w:p>
        </w:tc>
      </w:tr>
    </w:tbl>
    <w:p/>
    <w:p>
      <w:pPr>
        <w:spacing w:before="200" w:after="80"/>
      </w:pPr>
      <w:r>
        <w:rPr>
          <w:rFonts w:ascii="Aptos Display" w:hAnsi="Aptos Display" w:eastAsia="Aptos Display"/>
          <w:b/>
          <w:color w:val="123B3A"/>
          <w:sz w:val="32"/>
        </w:rPr>
        <w:t>Socle commun à vérifier avant toute échéance</w:t>
      </w:r>
    </w:p>
    <w:p>
      <w:pPr>
        <w:pStyle w:val="ListBullet"/>
        <w:spacing w:after="40"/>
      </w:pPr>
      <w:r>
        <w:rPr>
          <w:rFonts w:ascii="Aptos" w:hAnsi="Aptos" w:eastAsia="Aptos"/>
          <w:b/>
          <w:color w:val="1D5652"/>
          <w:sz w:val="18"/>
        </w:rPr>
        <w:t xml:space="preserve">Régime applicable. </w:t>
      </w:r>
      <w:r>
        <w:rPr>
          <w:rFonts w:ascii="Aptos" w:hAnsi="Aptos" w:eastAsia="Aptos"/>
          <w:b w:val="0"/>
          <w:sz w:val="18"/>
        </w:rPr>
        <w:t>La version publiée, la date d’effet et les consignes du certificateur sont identifiées.</w:t>
      </w:r>
    </w:p>
    <w:p>
      <w:pPr>
        <w:pStyle w:val="ListBullet"/>
        <w:spacing w:after="40"/>
      </w:pPr>
      <w:r>
        <w:rPr>
          <w:rFonts w:ascii="Aptos" w:hAnsi="Aptos" w:eastAsia="Aptos"/>
          <w:b/>
          <w:color w:val="1D5652"/>
          <w:sz w:val="18"/>
        </w:rPr>
        <w:t xml:space="preserve">Portées exercées. </w:t>
      </w:r>
      <w:r>
        <w:rPr>
          <w:rFonts w:ascii="Aptos" w:hAnsi="Aptos" w:eastAsia="Aptos"/>
          <w:b w:val="0"/>
          <w:sz w:val="18"/>
        </w:rPr>
        <w:t>Chaque catégorie réelle est cartographiée : formation, apprentissage, bilan, VAE et formations certifiantes le cas échéant.</w:t>
      </w:r>
    </w:p>
    <w:p>
      <w:pPr>
        <w:pStyle w:val="ListBullet"/>
        <w:spacing w:after="40"/>
      </w:pPr>
      <w:r>
        <w:rPr>
          <w:rFonts w:ascii="Aptos" w:hAnsi="Aptos" w:eastAsia="Aptos"/>
          <w:b/>
          <w:color w:val="1D5652"/>
          <w:sz w:val="18"/>
        </w:rPr>
        <w:t xml:space="preserve">Information et résultats. </w:t>
      </w:r>
      <w:r>
        <w:rPr>
          <w:rFonts w:ascii="Aptos" w:hAnsi="Aptos" w:eastAsia="Aptos"/>
          <w:b w:val="0"/>
          <w:sz w:val="18"/>
        </w:rPr>
        <w:t>Les supports publics sont cohérents ; chaque résultat est relié à une méthode, une source et une période.</w:t>
      </w:r>
    </w:p>
    <w:p>
      <w:pPr>
        <w:pStyle w:val="ListBullet"/>
        <w:spacing w:after="40"/>
      </w:pPr>
      <w:r>
        <w:rPr>
          <w:rFonts w:ascii="Aptos" w:hAnsi="Aptos" w:eastAsia="Aptos"/>
          <w:b/>
          <w:color w:val="1D5652"/>
          <w:sz w:val="18"/>
        </w:rPr>
        <w:t xml:space="preserve">Personnes. </w:t>
      </w:r>
      <w:r>
        <w:rPr>
          <w:rFonts w:ascii="Aptos" w:hAnsi="Aptos" w:eastAsia="Aptos"/>
          <w:b w:val="0"/>
          <w:sz w:val="18"/>
        </w:rPr>
        <w:t>Le dispositif VSS/harcèlement/discrimination est connu, confidentiel, testé et proportionné.</w:t>
      </w:r>
    </w:p>
    <w:p>
      <w:pPr>
        <w:pStyle w:val="ListBullet"/>
        <w:spacing w:after="40"/>
      </w:pPr>
      <w:r>
        <w:rPr>
          <w:rFonts w:ascii="Aptos" w:hAnsi="Aptos" w:eastAsia="Aptos"/>
          <w:b/>
          <w:color w:val="1D5652"/>
          <w:sz w:val="18"/>
        </w:rPr>
        <w:t xml:space="preserve">Partenaires. </w:t>
      </w:r>
      <w:r>
        <w:rPr>
          <w:rFonts w:ascii="Aptos" w:hAnsi="Aptos" w:eastAsia="Aptos"/>
          <w:b w:val="0"/>
          <w:sz w:val="18"/>
        </w:rPr>
        <w:t>Les contrats, sous-traitants et habilitations sont à jour ; les contrôles sont tracés.</w:t>
      </w:r>
    </w:p>
    <w:p>
      <w:pPr>
        <w:pStyle w:val="ListBullet"/>
        <w:spacing w:after="40"/>
      </w:pPr>
      <w:r>
        <w:rPr>
          <w:rFonts w:ascii="Aptos" w:hAnsi="Aptos" w:eastAsia="Aptos"/>
          <w:b/>
          <w:color w:val="1D5652"/>
          <w:sz w:val="18"/>
        </w:rPr>
        <w:t xml:space="preserve">Amélioration. </w:t>
      </w:r>
      <w:r>
        <w:rPr>
          <w:rFonts w:ascii="Aptos" w:hAnsi="Aptos" w:eastAsia="Aptos"/>
          <w:b w:val="0"/>
          <w:sz w:val="18"/>
        </w:rPr>
        <w:t>Le registre des risques, les réclamations, les évaluations et les plans d’action sont reliés et revus.</w:t>
      </w:r>
    </w:p>
    <w:p>
      <w:pPr>
        <w:spacing w:before="200" w:after="80"/>
      </w:pPr>
      <w:r>
        <w:rPr>
          <w:rFonts w:ascii="Aptos Display" w:hAnsi="Aptos Display" w:eastAsia="Aptos Display"/>
          <w:b/>
          <w:color w:val="123B3A"/>
          <w:sz w:val="32"/>
        </w:rPr>
        <w:t>Points complémentaires par portée</w:t>
      </w:r>
    </w:p>
    <w:tbl>
      <w:tblPr>
        <w:tblStyle w:val="TableGrid"/>
        <w:tblW w:type="auto" w:w="0"/>
        <w:jc w:val="center"/>
        <w:tblLayout w:type="fixed"/>
        <w:tblLook w:firstColumn="1" w:firstRow="1" w:lastColumn="0" w:lastRow="0" w:noHBand="0" w:noVBand="1" w:val="04A0"/>
      </w:tblPr>
      <w:tblGrid>
        <w:gridCol w:w="3345"/>
        <w:gridCol w:w="3345"/>
        <w:gridCol w:w="3345"/>
      </w:tblGrid>
      <w:tr>
        <w:tc>
          <w:tcPr>
            <w:tcW w:type="dxa" w:w="3345"/>
            <w:shd w:fill="123B3A"/>
            <w:tcMar>
              <w:top w:w="110" w:type="dxa"/>
              <w:start w:w="125" w:type="dxa"/>
              <w:bottom w:w="110" w:type="dxa"/>
              <w:end w:w="125" w:type="dxa"/>
            </w:tcMar>
          </w:tcPr>
          <w:p>
            <w:r>
              <w:rPr>
                <w:rFonts w:ascii="Aptos" w:hAnsi="Aptos" w:eastAsia="Aptos"/>
                <w:b/>
                <w:color w:val="FFFFFF"/>
                <w:sz w:val="15"/>
              </w:rPr>
              <w:t>Portée</w:t>
            </w:r>
          </w:p>
        </w:tc>
        <w:tc>
          <w:tcPr>
            <w:tcW w:type="dxa" w:w="3345"/>
            <w:shd w:fill="123B3A"/>
            <w:tcMar>
              <w:top w:w="110" w:type="dxa"/>
              <w:start w:w="125" w:type="dxa"/>
              <w:bottom w:w="110" w:type="dxa"/>
              <w:end w:w="125" w:type="dxa"/>
            </w:tcMar>
          </w:tcPr>
          <w:p>
            <w:r>
              <w:rPr>
                <w:rFonts w:ascii="Aptos" w:hAnsi="Aptos" w:eastAsia="Aptos"/>
                <w:b/>
                <w:color w:val="FFFFFF"/>
                <w:sz w:val="15"/>
              </w:rPr>
              <w:t>Vérifications spécifiques</w:t>
            </w:r>
          </w:p>
        </w:tc>
        <w:tc>
          <w:tcPr>
            <w:tcW w:type="dxa" w:w="3345"/>
            <w:shd w:fill="123B3A"/>
            <w:tcMar>
              <w:top w:w="110" w:type="dxa"/>
              <w:start w:w="125" w:type="dxa"/>
              <w:bottom w:w="110" w:type="dxa"/>
              <w:end w:w="125" w:type="dxa"/>
            </w:tcMar>
          </w:tcPr>
          <w:p>
            <w:r>
              <w:rPr>
                <w:rFonts w:ascii="Aptos" w:hAnsi="Aptos" w:eastAsia="Aptos"/>
                <w:b/>
                <w:color w:val="FFFFFF"/>
                <w:sz w:val="15"/>
              </w:rPr>
              <w:t>Question de revue</w:t>
            </w:r>
          </w:p>
        </w:tc>
      </w:tr>
      <w:tr>
        <w:trPr>
          <w:cantSplit/>
        </w:trPr>
        <w:tc>
          <w:tcPr>
            <w:tcW w:type="dxa" w:w="3345"/>
            <w:shd w:fill="FFFFFF"/>
            <w:tcMar>
              <w:top w:w="110" w:type="dxa"/>
              <w:start w:w="125" w:type="dxa"/>
              <w:bottom w:w="110" w:type="dxa"/>
              <w:end w:w="125" w:type="dxa"/>
            </w:tcMar>
            <w:vAlign w:val="top"/>
          </w:tcPr>
          <w:p>
            <w:r>
              <w:rPr>
                <w:rFonts w:ascii="Aptos" w:hAnsi="Aptos" w:eastAsia="Aptos"/>
                <w:b/>
                <w:color w:val="123B3A"/>
                <w:sz w:val="16"/>
              </w:rPr>
              <w:t>OF</w:t>
            </w:r>
          </w:p>
        </w:tc>
        <w:tc>
          <w:tcPr>
            <w:tcW w:type="dxa" w:w="3345"/>
            <w:shd w:fill="FFFFFF"/>
            <w:tcMar>
              <w:top w:w="110" w:type="dxa"/>
              <w:start w:w="125" w:type="dxa"/>
              <w:bottom w:w="110" w:type="dxa"/>
              <w:end w:w="125" w:type="dxa"/>
            </w:tcMar>
            <w:vAlign w:val="top"/>
          </w:tcPr>
          <w:p>
            <w:r>
              <w:rPr>
                <w:rFonts w:ascii="Aptos" w:hAnsi="Aptos" w:eastAsia="Aptos"/>
                <w:b w:val="0"/>
                <w:sz w:val="16"/>
              </w:rPr>
              <w:t>Dossiers de réalisation, adaptation, FOAD, compétences et suivi de parcours.</w:t>
            </w:r>
          </w:p>
        </w:tc>
        <w:tc>
          <w:tcPr>
            <w:tcW w:type="dxa" w:w="3345"/>
            <w:shd w:fill="FFFFFF"/>
            <w:tcMar>
              <w:top w:w="110" w:type="dxa"/>
              <w:start w:w="125" w:type="dxa"/>
              <w:bottom w:w="110" w:type="dxa"/>
              <w:end w:w="125" w:type="dxa"/>
            </w:tcMar>
            <w:vAlign w:val="top"/>
          </w:tcPr>
          <w:p>
            <w:r>
              <w:rPr>
                <w:rFonts w:ascii="Aptos" w:hAnsi="Aptos" w:eastAsia="Aptos"/>
                <w:b w:val="0"/>
                <w:sz w:val="16"/>
              </w:rPr>
              <w:t>Sommes-nous capables de montrer une action réelle par modalité délivrée ?</w:t>
            </w:r>
          </w:p>
        </w:tc>
      </w:tr>
      <w:tr>
        <w:trPr>
          <w:cantSplit/>
        </w:trPr>
        <w:tc>
          <w:tcPr>
            <w:tcW w:type="dxa" w:w="3345"/>
            <w:shd w:fill="EAF2F5"/>
            <w:tcMar>
              <w:top w:w="110" w:type="dxa"/>
              <w:start w:w="125" w:type="dxa"/>
              <w:bottom w:w="110" w:type="dxa"/>
              <w:end w:w="125" w:type="dxa"/>
            </w:tcMar>
            <w:vAlign w:val="top"/>
          </w:tcPr>
          <w:p>
            <w:r>
              <w:rPr>
                <w:rFonts w:ascii="Aptos" w:hAnsi="Aptos" w:eastAsia="Aptos"/>
                <w:b/>
                <w:color w:val="123B3A"/>
                <w:sz w:val="16"/>
              </w:rPr>
              <w:t>CFA</w:t>
            </w:r>
          </w:p>
        </w:tc>
        <w:tc>
          <w:tcPr>
            <w:tcW w:type="dxa" w:w="3345"/>
            <w:shd w:fill="EAF2F5"/>
            <w:tcMar>
              <w:top w:w="110" w:type="dxa"/>
              <w:start w:w="125" w:type="dxa"/>
              <w:bottom w:w="110" w:type="dxa"/>
              <w:end w:w="125" w:type="dxa"/>
            </w:tcMar>
            <w:vAlign w:val="top"/>
          </w:tcPr>
          <w:p>
            <w:r>
              <w:rPr>
                <w:rFonts w:ascii="Aptos" w:hAnsi="Aptos" w:eastAsia="Aptos"/>
                <w:b w:val="0"/>
                <w:sz w:val="16"/>
              </w:rPr>
              <w:t>Syllabus, livret de suivi, ruptures, ETP, conseil de perfectionnement, médiation et ind. 33.</w:t>
            </w:r>
          </w:p>
        </w:tc>
        <w:tc>
          <w:tcPr>
            <w:tcW w:type="dxa" w:w="3345"/>
            <w:shd w:fill="EAF2F5"/>
            <w:tcMar>
              <w:top w:w="110" w:type="dxa"/>
              <w:start w:w="125" w:type="dxa"/>
              <w:bottom w:w="110" w:type="dxa"/>
              <w:end w:w="125" w:type="dxa"/>
            </w:tcMar>
            <w:vAlign w:val="top"/>
          </w:tcPr>
          <w:p>
            <w:r>
              <w:rPr>
                <w:rFonts w:ascii="Aptos" w:hAnsi="Aptos" w:eastAsia="Aptos"/>
                <w:b w:val="0"/>
                <w:sz w:val="16"/>
              </w:rPr>
              <w:t>Les apprentis, entreprises et équipes peuvent-ils démontrer que ces dispositifs vivent réellement ?</w:t>
            </w:r>
          </w:p>
        </w:tc>
      </w:tr>
      <w:tr>
        <w:trPr>
          <w:cantSplit/>
        </w:trPr>
        <w:tc>
          <w:tcPr>
            <w:tcW w:type="dxa" w:w="3345"/>
            <w:shd w:fill="FFFFFF"/>
            <w:tcMar>
              <w:top w:w="110" w:type="dxa"/>
              <w:start w:w="125" w:type="dxa"/>
              <w:bottom w:w="110" w:type="dxa"/>
              <w:end w:w="125" w:type="dxa"/>
            </w:tcMar>
            <w:vAlign w:val="top"/>
          </w:tcPr>
          <w:p>
            <w:r>
              <w:rPr>
                <w:rFonts w:ascii="Aptos" w:hAnsi="Aptos" w:eastAsia="Aptos"/>
                <w:b/>
                <w:color w:val="123B3A"/>
                <w:sz w:val="16"/>
              </w:rPr>
              <w:t>Bilan de compétences</w:t>
            </w:r>
          </w:p>
        </w:tc>
        <w:tc>
          <w:tcPr>
            <w:tcW w:type="dxa" w:w="3345"/>
            <w:shd w:fill="FFFFFF"/>
            <w:tcMar>
              <w:top w:w="110" w:type="dxa"/>
              <w:start w:w="125" w:type="dxa"/>
              <w:bottom w:w="110" w:type="dxa"/>
              <w:end w:w="125" w:type="dxa"/>
            </w:tcMar>
            <w:vAlign w:val="top"/>
          </w:tcPr>
          <w:p>
            <w:r>
              <w:rPr>
                <w:rFonts w:ascii="Aptos" w:hAnsi="Aptos" w:eastAsia="Aptos"/>
                <w:b w:val="0"/>
                <w:sz w:val="16"/>
              </w:rPr>
              <w:t>Confidentialité, parcours anonymisés, informations, évaluations et données accessibles aux seules personnes habilitées.</w:t>
            </w:r>
          </w:p>
        </w:tc>
        <w:tc>
          <w:tcPr>
            <w:tcW w:type="dxa" w:w="3345"/>
            <w:shd w:fill="FFFFFF"/>
            <w:tcMar>
              <w:top w:w="110" w:type="dxa"/>
              <w:start w:w="125" w:type="dxa"/>
              <w:bottom w:w="110" w:type="dxa"/>
              <w:end w:w="125" w:type="dxa"/>
            </w:tcMar>
            <w:vAlign w:val="top"/>
          </w:tcPr>
          <w:p>
            <w:r>
              <w:rPr>
                <w:rFonts w:ascii="Aptos" w:hAnsi="Aptos" w:eastAsia="Aptos"/>
                <w:b w:val="0"/>
                <w:sz w:val="16"/>
              </w:rPr>
              <w:t>La preuve qualité est-elle disponible sans exposer le contenu personnel du bilan ?</w:t>
            </w:r>
          </w:p>
        </w:tc>
      </w:tr>
      <w:tr>
        <w:trPr>
          <w:cantSplit/>
        </w:trPr>
        <w:tc>
          <w:tcPr>
            <w:tcW w:type="dxa" w:w="3345"/>
            <w:shd w:fill="EAF2F5"/>
            <w:tcMar>
              <w:top w:w="110" w:type="dxa"/>
              <w:start w:w="125" w:type="dxa"/>
              <w:bottom w:w="110" w:type="dxa"/>
              <w:end w:w="125" w:type="dxa"/>
            </w:tcMar>
            <w:vAlign w:val="top"/>
          </w:tcPr>
          <w:p>
            <w:r>
              <w:rPr>
                <w:rFonts w:ascii="Aptos" w:hAnsi="Aptos" w:eastAsia="Aptos"/>
                <w:b/>
                <w:color w:val="123B3A"/>
                <w:sz w:val="16"/>
              </w:rPr>
              <w:t>VAE</w:t>
            </w:r>
          </w:p>
        </w:tc>
        <w:tc>
          <w:tcPr>
            <w:tcW w:type="dxa" w:w="3345"/>
            <w:shd w:fill="EAF2F5"/>
            <w:tcMar>
              <w:top w:w="110" w:type="dxa"/>
              <w:start w:w="125" w:type="dxa"/>
              <w:bottom w:w="110" w:type="dxa"/>
              <w:end w:w="125" w:type="dxa"/>
            </w:tcMar>
            <w:vAlign w:val="top"/>
          </w:tcPr>
          <w:p>
            <w:r>
              <w:rPr>
                <w:rFonts w:ascii="Aptos" w:hAnsi="Aptos" w:eastAsia="Aptos"/>
                <w:b w:val="0"/>
                <w:sz w:val="16"/>
              </w:rPr>
              <w:t>Jalons, accompagnement, compétences des accompagnateurs, informations au candidat et suivi.</w:t>
            </w:r>
          </w:p>
        </w:tc>
        <w:tc>
          <w:tcPr>
            <w:tcW w:type="dxa" w:w="3345"/>
            <w:shd w:fill="EAF2F5"/>
            <w:tcMar>
              <w:top w:w="110" w:type="dxa"/>
              <w:start w:w="125" w:type="dxa"/>
              <w:bottom w:w="110" w:type="dxa"/>
              <w:end w:w="125" w:type="dxa"/>
            </w:tcMar>
            <w:vAlign w:val="top"/>
          </w:tcPr>
          <w:p>
            <w:r>
              <w:rPr>
                <w:rFonts w:ascii="Aptos" w:hAnsi="Aptos" w:eastAsia="Aptos"/>
                <w:b w:val="0"/>
                <w:sz w:val="16"/>
              </w:rPr>
              <w:t>Chaque étape du candidat est-elle reliée à une trace proportionnée et compréhensible ?</w:t>
            </w:r>
          </w:p>
        </w:tc>
      </w:tr>
      <w:tr>
        <w:trPr>
          <w:cantSplit/>
        </w:trPr>
        <w:tc>
          <w:tcPr>
            <w:tcW w:type="dxa" w:w="3345"/>
            <w:shd w:fill="FFFFFF"/>
            <w:tcMar>
              <w:top w:w="110" w:type="dxa"/>
              <w:start w:w="125" w:type="dxa"/>
              <w:bottom w:w="110" w:type="dxa"/>
              <w:end w:w="125" w:type="dxa"/>
            </w:tcMar>
            <w:vAlign w:val="top"/>
          </w:tcPr>
          <w:p>
            <w:r>
              <w:rPr>
                <w:rFonts w:ascii="Aptos" w:hAnsi="Aptos" w:eastAsia="Aptos"/>
                <w:b/>
                <w:color w:val="123B3A"/>
                <w:sz w:val="16"/>
              </w:rPr>
              <w:t>Certification</w:t>
            </w:r>
          </w:p>
        </w:tc>
        <w:tc>
          <w:tcPr>
            <w:tcW w:type="dxa" w:w="3345"/>
            <w:shd w:fill="FFFFFF"/>
            <w:tcMar>
              <w:top w:w="110" w:type="dxa"/>
              <w:start w:w="125" w:type="dxa"/>
              <w:bottom w:w="110" w:type="dxa"/>
              <w:end w:w="125" w:type="dxa"/>
            </w:tcMar>
            <w:vAlign w:val="top"/>
          </w:tcPr>
          <w:p>
            <w:r>
              <w:rPr>
                <w:rFonts w:ascii="Aptos" w:hAnsi="Aptos" w:eastAsia="Aptos"/>
                <w:b w:val="0"/>
                <w:sz w:val="16"/>
              </w:rPr>
              <w:t>Habilitation, correspondance compétences/évaluations et résultats publiés.</w:t>
            </w:r>
          </w:p>
        </w:tc>
        <w:tc>
          <w:tcPr>
            <w:tcW w:type="dxa" w:w="3345"/>
            <w:shd w:fill="FFFFFF"/>
            <w:tcMar>
              <w:top w:w="110" w:type="dxa"/>
              <w:start w:w="125" w:type="dxa"/>
              <w:bottom w:w="110" w:type="dxa"/>
              <w:end w:w="125" w:type="dxa"/>
            </w:tcMar>
            <w:vAlign w:val="top"/>
          </w:tcPr>
          <w:p>
            <w:r>
              <w:rPr>
                <w:rFonts w:ascii="Aptos" w:hAnsi="Aptos" w:eastAsia="Aptos"/>
                <w:b w:val="0"/>
                <w:sz w:val="16"/>
              </w:rPr>
              <w:t>La capacité à certifier est-elle prouvée avant toute communication commerciale ?</w:t>
            </w:r>
          </w:p>
        </w:tc>
      </w:tr>
    </w:tbl>
    <w:p>
      <w:pPr>
        <w:spacing w:before="200" w:after="80"/>
      </w:pPr>
      <w:r>
        <w:rPr>
          <w:rFonts w:ascii="Aptos Display" w:hAnsi="Aptos Display" w:eastAsia="Aptos Display"/>
          <w:b/>
          <w:color w:val="123B3A"/>
          <w:sz w:val="32"/>
        </w:rPr>
        <w:t>Décision de direction</w:t>
      </w:r>
    </w:p>
    <w:p>
      <w:pPr>
        <w:spacing w:after="100" w:line="254" w:lineRule="auto"/>
      </w:pPr>
      <w:r>
        <w:rPr>
          <w:rFonts w:ascii="Aptos" w:hAnsi="Aptos" w:eastAsia="Aptos"/>
          <w:b w:val="0"/>
          <w:sz w:val="19"/>
        </w:rPr>
        <w:t>À l’issue de la revue, chaque écart doit recevoir un pilote, une échéance, une preuve attendue et un indicateur d’efficacité. Les sujets CFA, bilan et VAE ne doivent pas être traités comme des annexes : ils constituent la déclinaison de la qualité sur la portée réellement déclarée et délivrée.</w:t>
      </w:r>
    </w:p>
    <w:p>
      <w:pPr>
        <w:spacing w:before="200" w:after="80"/>
      </w:pPr>
      <w:r>
        <w:rPr>
          <w:rFonts w:ascii="Aptos Display" w:hAnsi="Aptos Display" w:eastAsia="Aptos Display"/>
          <w:b/>
          <w:color w:val="123B3A"/>
          <w:sz w:val="32"/>
        </w:rPr>
        <w:t>Sources et périmètre</w:t>
      </w:r>
    </w:p>
    <w:p>
      <w:pPr>
        <w:spacing w:after="100" w:line="254" w:lineRule="auto"/>
      </w:pPr>
      <w:r>
        <w:rPr>
          <w:rFonts w:ascii="Aptos" w:hAnsi="Aptos" w:eastAsia="Aptos"/>
          <w:b w:val="0"/>
          <w:sz w:val="16"/>
        </w:rPr>
        <w:t>Cette checklist synthétise le topo V9 → V10 et les documents transmis. Elle ne remplace pas la consultation du guide publié, de l’arrêté applicable et des consignes du certificateur.</w:t>
      </w:r>
    </w:p>
    <w:sectPr w:rsidR="00FC693F" w:rsidRPr="0006063C" w:rsidSect="00034616">
      <w:headerReference w:type="default" r:id="rId9"/>
      <w:footerReference w:type="default" r:id="rId10"/>
      <w:pgSz w:w="11906" w:h="16838"/>
      <w:pgMar w:top="822" w:right="935" w:bottom="822" w:left="93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eastAsia="Aptos"/>
        <w:b w:val="0"/>
        <w:color w:val="5D716E"/>
        <w:sz w:val="15"/>
      </w:rPr>
      <w:t>Analyse au 29 octobre 2026  •  Document de travail  •  Vérifier les textes publiés</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eastAsia="Aptos"/>
        <w:b/>
        <w:color w:val="5D716E"/>
        <w:sz w:val="15"/>
      </w:rPr>
      <w:t>VEILLE QUALIOPI  |  RESSOURCE DE PRÉPARATION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